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70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Приложение к постановлению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«Демидовский 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округ»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Смоленской области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17.03.2025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270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МУНИЦИПАЛЬНАЯ  ПРОГРАММА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«Противодействие экстремизму и профилактика терроризма на территории муниципального образования «Демидовский муниципальный 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округ» Смоленской области»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 А С П О Р Т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«Противодействие экстремизму и профилактика терроризма на территории муниципального образования «Демидовский муниципальный 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округ» Смоленской области»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Основные положения</w:t>
      </w:r>
    </w:p>
    <w:p>
      <w:pPr>
        <w:pStyle w:val="Normal"/>
        <w:ind w:left="360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5000" w:type="pct"/>
        <w:jc w:val="left"/>
        <w:tblInd w:w="-108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3246"/>
        <w:gridCol w:w="6391"/>
      </w:tblGrid>
      <w:tr>
        <w:trPr>
          <w:trHeight w:val="706" w:hRule="atLeast"/>
          <w:cantSplit w:val="true"/>
        </w:trPr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Ответственный исполнитель </w:t>
              <w:br/>
              <w:t>муниципальной программы</w:t>
            </w: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5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«Демидовский муниципальный округ» Смоленской области</w:t>
            </w:r>
          </w:p>
        </w:tc>
      </w:tr>
      <w:tr>
        <w:trPr>
          <w:trHeight w:val="407" w:hRule="atLeast"/>
          <w:cantSplit w:val="true"/>
        </w:trPr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: 2019 - 2021 годы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>: 2022 - 2024 годы</w:t>
            </w:r>
          </w:p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Этап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: 2025 - 2027 годы</w:t>
            </w:r>
          </w:p>
        </w:tc>
      </w:tr>
      <w:tr>
        <w:trPr>
          <w:trHeight w:val="725" w:hRule="atLeast"/>
          <w:cantSplit w:val="true"/>
        </w:trPr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      </w:r>
          </w:p>
          <w:p>
            <w:pPr>
              <w:pStyle w:val="Normal"/>
              <w:jc w:val="both"/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 национальной и конфессиональной почве.</w:t>
            </w:r>
          </w:p>
        </w:tc>
      </w:tr>
      <w:tr>
        <w:trPr>
          <w:trHeight w:val="677" w:hRule="atLeast"/>
          <w:cantSplit w:val="true"/>
        </w:trPr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>Объемы финансового обеспечения за весь период реализации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составляет -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130 000,00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, из них: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2019 - 2024 годы — 100 000, 00 рублей;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2025 год -  10 000  рублей, из них: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федерального бюджета -0,00 рублей;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– 0,00 рублей;</w:t>
            </w:r>
          </w:p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 xml:space="preserve">средства бюджета муниципального округа  - 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>10 000  рублей;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2026 год –10 000 рублей, из них: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федерального бюджета -0,00 рублей;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– 0,00 рублей;</w:t>
            </w:r>
          </w:p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 xml:space="preserve">средства бюджета муниципального округа  - 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>10 000  рублей;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2027 год -  10 000 рублей, из них: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федерального бюджета -0,00 рублей;</w:t>
            </w:r>
          </w:p>
          <w:p>
            <w:pPr>
              <w:pStyle w:val="Normal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– 0,00 рублей;</w:t>
            </w:r>
          </w:p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 xml:space="preserve">средства бюджета муниципального округа  - </w:t>
            </w:r>
          </w:p>
          <w:p>
            <w:pPr>
              <w:pStyle w:val="Normal"/>
              <w:spacing w:lineRule="auto" w:line="252"/>
              <w:jc w:val="both"/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</w:pPr>
            <w:r>
              <w:rPr>
                <w:rFonts w:eastAsia="Arial Unicode MS" w:cs="Times New Roman" w:ascii="Times New Roman" w:hAnsi="Times New Roman"/>
                <w:sz w:val="28"/>
                <w:szCs w:val="28"/>
                <w:lang w:eastAsia="ru-RU"/>
              </w:rPr>
              <w:t>10 000  рублей;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2. Показатели муниципальной программы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485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1969"/>
        <w:gridCol w:w="1259"/>
        <w:gridCol w:w="1959"/>
        <w:gridCol w:w="1344"/>
        <w:gridCol w:w="1452"/>
        <w:gridCol w:w="1364"/>
      </w:tblGrid>
      <w:tr>
        <w:trPr>
          <w:tblHeader w:val="true"/>
        </w:trPr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23"/>
              <w:jc w:val="both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Базовое значение показателя в 2024 году</w:t>
            </w:r>
          </w:p>
        </w:tc>
        <w:tc>
          <w:tcPr>
            <w:tcW w:w="4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Планируемое значение показателя</w:t>
            </w:r>
          </w:p>
        </w:tc>
      </w:tr>
      <w:tr>
        <w:trPr>
          <w:tblHeader w:val="true"/>
          <w:trHeight w:val="448" w:hRule="atLeast"/>
        </w:trPr>
        <w:tc>
          <w:tcPr>
            <w:tcW w:w="1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2025 год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2026 год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2027 год</w:t>
            </w:r>
          </w:p>
        </w:tc>
      </w:tr>
      <w:tr>
        <w:trPr>
          <w:tblHeader w:val="true"/>
          <w:trHeight w:val="282" w:hRule="atLeast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2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28"/>
              <w:rPr>
                <w:spacing w:val="-2"/>
              </w:rPr>
            </w:pPr>
            <w:r>
              <w:rPr>
                <w:lang w:eastAsia="en-US"/>
              </w:rPr>
              <w:t xml:space="preserve">Информирование населения по вопросам противодействия терроризму, да/нет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firstLine="170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</w:tr>
      <w:tr>
        <w:trPr/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28"/>
              <w:rPr>
                <w:spacing w:val="-2"/>
              </w:rPr>
            </w:pPr>
            <w:r>
              <w:rPr>
                <w:lang w:eastAsia="en-US"/>
              </w:rPr>
              <w:t>Оснащенность материально-техническими средствами сил, привлекаемых для проведения профилактики терроризма, да/нет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firstLine="283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pacing w:val="-2"/>
              </w:rPr>
              <w:t>да</w:t>
            </w:r>
          </w:p>
        </w:tc>
      </w:tr>
    </w:tbl>
    <w:p>
      <w:pPr>
        <w:pStyle w:val="Normal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3. Структура муниципальной программы</w:t>
      </w:r>
    </w:p>
    <w:p>
      <w:pPr>
        <w:pStyle w:val="Normal"/>
        <w:ind w:firstLine="851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4850" w:type="pct"/>
        <w:jc w:val="left"/>
        <w:tblInd w:w="-108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846"/>
        <w:gridCol w:w="3250"/>
        <w:gridCol w:w="3147"/>
        <w:gridCol w:w="2104"/>
      </w:tblGrid>
      <w:tr>
        <w:trPr>
          <w:trHeight w:val="562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227" w:hanging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Связь с показателями*</w:t>
            </w:r>
          </w:p>
        </w:tc>
      </w:tr>
      <w:tr>
        <w:trPr>
          <w:trHeight w:val="17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 рамках муниципальной программы региональный проект не реализуется</w:t>
            </w:r>
          </w:p>
        </w:tc>
      </w:tr>
      <w:tr>
        <w:trPr>
          <w:trHeight w:val="448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 рамках муниципальной программы ведомственный проект не реализуется</w:t>
            </w:r>
          </w:p>
        </w:tc>
      </w:tr>
      <w:tr>
        <w:trPr>
          <w:trHeight w:val="448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 Комплекс процессных мероприятий «</w:t>
            </w:r>
            <w:r>
              <w:rPr>
                <w:rFonts w:eastAsia="Courier New" w:cs="Times New Roman" w:ascii="Times New Roman" w:hAnsi="Times New Roman"/>
                <w:bCs/>
                <w:sz w:val="20"/>
                <w:szCs w:val="20"/>
                <w:lang w:eastAsia="ru-RU"/>
              </w:rPr>
              <w:t>Обеспечение организационных условий для реализации муниципальной программы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>
        <w:trPr>
          <w:trHeight w:val="448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851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rFonts w:eastAsia="Arial Unicode MS" w:cs="Times New Roman" w:ascii="Times New Roman" w:hAnsi="Times New Roman"/>
                <w:sz w:val="20"/>
                <w:szCs w:val="20"/>
                <w:lang w:eastAsia="ru-RU"/>
              </w:rPr>
              <w:t>Администрации муниципального образования  «Демидовский муниципальный округ» Смоленской области, Отдел по образованию Администрации муниципального образования  «Демидовский муниципальный округ» Смоленской области, Отдел по культуре Администрации муниципального образования  «Демидовский муниципальный округ» Смоленской области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Распространение опыта проведения просветительских информационных мероприятий по формированию толерантности и преодолению ксенофобии.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rPr>
                <w:rFonts w:ascii="Times New Roman" w:hAnsi="Times New Roman" w:eastAsia="Times New Roman" w:cs="Times New Roman"/>
                <w:color w:val="1A1A1A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1A1A1A"/>
                <w:sz w:val="20"/>
                <w:szCs w:val="20"/>
                <w:lang w:eastAsia="ru-RU" w:bidi="ar-SA"/>
              </w:rPr>
              <w:t>Развитие толерантности у подростков, повышение их социальной</w:t>
            </w:r>
          </w:p>
          <w:p>
            <w:pPr>
              <w:pStyle w:val="Normal"/>
              <w:widowControl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1A1A1A"/>
                <w:sz w:val="20"/>
                <w:szCs w:val="20"/>
                <w:lang w:eastAsia="ru-RU" w:bidi="ar-SA"/>
              </w:rPr>
              <w:t>компетентности, прежде всего способности к слушанию, сочувствию, состраданию.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терроризму.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Проведение мероприятий для детей и молодёжи с использованием видеоматериалов «Обыкновенный фашизм», «Сталинград» и т. д.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jc w:val="both"/>
              <w:rPr>
                <w:rFonts w:ascii="Times New Roman" w:hAnsi="Times New Roman" w:eastAsia="Times New Roman" w:cs="Times New Roman"/>
                <w:color w:val="1A1A1A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1A1A1A"/>
                <w:sz w:val="20"/>
                <w:szCs w:val="20"/>
                <w:lang w:eastAsia="ru-RU" w:bidi="ar-SA"/>
              </w:rPr>
              <w:t xml:space="preserve">воспитание у детей и молодежи чувства причастности к истории своей страны, понимания личной и коллективной ответственности за ее будущее, устойчивой мотивации к созидательной деятельности по защите интересов Отечества в мирное и военное </w:t>
            </w:r>
            <w:r>
              <w:rPr>
                <w:rFonts w:cs="Times New Roman" w:ascii="Times New Roman" w:hAnsi="Times New Roman"/>
                <w:color w:val="1A1A1A"/>
                <w:sz w:val="20"/>
                <w:szCs w:val="20"/>
                <w:shd w:fill="FFFFFF" w:val="clear"/>
              </w:rPr>
              <w:t>время.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терроризму.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Организация работы учреждений культуры и спорта по утверждению в сознании молодых людей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различий между людьми), формированию нетерпимости к любым, проявлениям экстремизма.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Научить детей ценить разнообразие и различие, уважать достоинство каждого человека.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терроризму.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Организация работы в учреждениях образования Демидовского района по утверждению в сознании учащихся образовательных учреждений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различий между людьми), формированию нетерпимости к любым проявлениям  экстремизма, идей толерантности, недопущения межнациональных и межконфессиональных конфликтов, соблюдения правил поведения в общественных местах, недопущения фактов правонарушений.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1A1A1A"/>
                <w:sz w:val="20"/>
                <w:szCs w:val="20"/>
                <w:shd w:fill="FFFFFF" w:val="clear"/>
              </w:rPr>
              <w:t xml:space="preserve">Отсутствие преступлений экстремистского,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межнационального, межконфессионального </w:t>
            </w:r>
            <w:r>
              <w:rPr>
                <w:rFonts w:cs="Times New Roman" w:ascii="Times New Roman" w:hAnsi="Times New Roman"/>
                <w:color w:val="1A1A1A"/>
                <w:sz w:val="20"/>
                <w:szCs w:val="20"/>
                <w:shd w:fill="FFFFFF" w:val="clear"/>
              </w:rPr>
              <w:t xml:space="preserve"> характера.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терроризму.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Проведение заседаний АТК по профилактике терроризма на территории Демидовского муниципального округа.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Разработка мер по профилактике терроризма, устранению причин и условий, способствующих его проявлению, обеспечению защищенности объектов возможных террористических посягательств, а также по минимизации и ликвидации последствий террористических актов, осуществление контроля за реализацией этих мер.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Проведение учений и  тренировок на объектах с массовым пребыванием людей (в т.ч. культуры, спорта и образования), по отработке взаимодействия органов местного самоуправления и правоохранительных органов при угрозе  террористического акта, в целях обеспечения антитеррористической защищенности мест с массовым пребыванием людей.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  <w:shd w:fill="FFFFFF" w:val="clear"/>
              </w:rPr>
              <w:t>Проверить работоспособность системы оповещения подразделения вневедомственной охраны и внутренней системы оповещения при поступлении информации об угрозе террористического акта, а также совершенствовать навыки руководящего состава организации по порядку информирования и действий при угрозе.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терроризму.</w:t>
            </w:r>
          </w:p>
        </w:tc>
      </w:tr>
      <w:tr>
        <w:trPr>
          <w:trHeight w:val="247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1.7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«Приобретение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методических материалов, печатных и электронных учебных пособий, учебных фильмов для МБУК ЦКС по вопросам профилактики экстремизма и предупреждения террористических актов. Изготовление печатных памяток по тематике противодействия   экстремизму и терроризму».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Минимизация межнациональных и межконфессиональных конфликтов, соблюдения правил поведения в общественных местах, недопущения фактов правонарушений на почве экстремизма и терроризма.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терроризму.</w:t>
            </w:r>
          </w:p>
        </w:tc>
      </w:tr>
      <w:tr>
        <w:trPr>
          <w:trHeight w:val="448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firstLine="851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2. Отдельные мероприятия не реализуется</w:t>
            </w:r>
          </w:p>
        </w:tc>
      </w:tr>
    </w:tbl>
    <w:p>
      <w:pPr>
        <w:pStyle w:val="Normal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4. Финансовое обеспечение муниципальной программы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490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4483"/>
        <w:gridCol w:w="1224"/>
        <w:gridCol w:w="1383"/>
        <w:gridCol w:w="1176"/>
        <w:gridCol w:w="1179"/>
      </w:tblGrid>
      <w:tr>
        <w:trPr>
          <w:tblHeader w:val="true"/>
        </w:trPr>
        <w:tc>
          <w:tcPr>
            <w:tcW w:w="4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 финансового обеспечения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24" w:hanging="0"/>
              <w:jc w:val="both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Всего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firstLine="851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4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2026 год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2027 год</w:t>
            </w:r>
          </w:p>
        </w:tc>
      </w:tr>
      <w:tr>
        <w:trPr>
          <w:tblHeader w:val="true"/>
          <w:trHeight w:val="254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25" w:hanging="0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28"/>
              <w:jc w:val="both"/>
              <w:rPr/>
            </w:pPr>
            <w:r>
              <w:rPr>
                <w:rFonts w:cs="Times New Roman" w:ascii="Times New Roman" w:hAnsi="Times New Roman"/>
              </w:rPr>
              <w:t>В целом по муниципальной программе</w:t>
            </w:r>
            <w:r>
              <w:rPr>
                <w:rFonts w:eastAsia="Times New Roman" w:cs="Times New Roman" w:ascii="Times New Roman" w:hAnsi="Times New Roman"/>
                <w:spacing w:val="-2"/>
              </w:rPr>
              <w:t>,</w:t>
            </w:r>
          </w:p>
          <w:p>
            <w:pPr>
              <w:pStyle w:val="Normal"/>
              <w:spacing w:lineRule="auto" w:line="228"/>
              <w:ind w:firstLine="851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в том числе: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52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pacing w:val="-2"/>
              </w:rPr>
              <w:t>30,00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10,00</w:t>
            </w:r>
          </w:p>
        </w:tc>
      </w:tr>
      <w:tr>
        <w:trPr/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28"/>
              <w:ind w:firstLine="851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28"/>
              <w:ind w:firstLine="851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28"/>
              <w:ind w:firstLine="851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30,00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10,00</w:t>
            </w:r>
          </w:p>
        </w:tc>
      </w:tr>
      <w:tr>
        <w:trPr/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28"/>
              <w:ind w:firstLine="851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внебюджетные средства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spacing w:val="-2"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  </w:t>
            </w: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0</w:t>
            </w:r>
          </w:p>
        </w:tc>
      </w:tr>
    </w:tbl>
    <w:p>
      <w:pPr>
        <w:pStyle w:val="Normal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  <w:t>СВЕДЕНИЯ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 региональном проекте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_______________________-________________________ 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(наименование регионального проекта)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1. Общие положения</w:t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tbl>
      <w:tblPr>
        <w:tblW w:w="500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880"/>
        <w:gridCol w:w="4757"/>
      </w:tblGrid>
      <w:tr>
        <w:trPr>
          <w:trHeight w:val="516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Ответственное</w:t>
            </w:r>
            <w:r>
              <w:rPr>
                <w:rFonts w:cs="Times New Roman" w:ascii="Times New Roman" w:hAnsi="Times New Roman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за реализацию регионального проекта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структурное подразделение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«Демидовский муниципальный округ» Смоленской области</w:t>
            </w:r>
          </w:p>
        </w:tc>
      </w:tr>
      <w:tr>
        <w:trPr>
          <w:trHeight w:val="700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с муниципальной программой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«Наименование»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Значения результатов регионального проекта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500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1974"/>
        <w:gridCol w:w="1595"/>
        <w:gridCol w:w="1623"/>
        <w:gridCol w:w="1453"/>
        <w:gridCol w:w="1651"/>
        <w:gridCol w:w="1341"/>
      </w:tblGrid>
      <w:tr>
        <w:trPr>
          <w:tblHeader w:val="true"/>
        </w:trPr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результата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3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Базовое значение результата в 2024 году</w:t>
            </w:r>
          </w:p>
        </w:tc>
        <w:tc>
          <w:tcPr>
            <w:tcW w:w="4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19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2025 год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2026 год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2027 год</w:t>
            </w:r>
          </w:p>
        </w:tc>
      </w:tr>
      <w:tr>
        <w:trPr>
          <w:tblHeader w:val="true"/>
          <w:trHeight w:val="282" w:hRule="atLeast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28"/>
              <w:ind w:firstLine="851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-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  <w:t>СВЕДЕНИЯ</w:t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  <w:t xml:space="preserve">о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ведомственном проекте</w:t>
      </w:r>
    </w:p>
    <w:p>
      <w:pPr>
        <w:pStyle w:val="Normal"/>
        <w:tabs>
          <w:tab w:val="clear" w:pos="709"/>
          <w:tab w:val="left" w:pos="1701" w:leader="none"/>
          <w:tab w:val="left" w:pos="8505" w:leader="none"/>
        </w:tabs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___________________-____________________________ 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(наименование ведомственного проекта)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1. Общие положения</w:t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tbl>
      <w:tblPr>
        <w:tblW w:w="500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880"/>
        <w:gridCol w:w="4757"/>
      </w:tblGrid>
      <w:tr>
        <w:trPr>
          <w:trHeight w:val="516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Ответственное</w:t>
            </w:r>
            <w:r>
              <w:rPr>
                <w:rFonts w:cs="Times New Roman" w:ascii="Times New Roman" w:hAnsi="Times New Roman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за реализацию ведомственного проекта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структурное подразделение Администрации муниципального образования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«Демидовский муниципальный округ» Смоленской области</w:t>
            </w:r>
          </w:p>
        </w:tc>
      </w:tr>
      <w:tr>
        <w:trPr>
          <w:trHeight w:val="700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с муниципальной программой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 программа «Наименование»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Значения результатов ведомственного проекта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495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1598"/>
        <w:gridCol w:w="1636"/>
        <w:gridCol w:w="1636"/>
        <w:gridCol w:w="1464"/>
        <w:gridCol w:w="1669"/>
        <w:gridCol w:w="1537"/>
      </w:tblGrid>
      <w:tr>
        <w:trPr>
          <w:tblHeader w:val="true"/>
        </w:trPr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Название результата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3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Базовое значение результата в 2024 году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Планируемое значение результат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1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2025 год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2026 год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2027 год</w:t>
            </w:r>
          </w:p>
        </w:tc>
      </w:tr>
      <w:tr>
        <w:trPr>
          <w:tblHeader w:val="true"/>
          <w:trHeight w:val="282" w:hRule="atLeast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28"/>
              <w:ind w:firstLine="851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firstLine="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ru-RU"/>
        </w:rPr>
        <w:t>ПАСПОРТ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комплекса процессных мероприятий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Courier New" w:cs="Times New Roman"/>
          <w:b/>
          <w:b/>
          <w:bCs/>
          <w:sz w:val="28"/>
          <w:szCs w:val="28"/>
          <w:u w:val="single"/>
          <w:lang w:eastAsia="ru-RU"/>
        </w:rPr>
      </w:pPr>
      <w:r>
        <w:rPr>
          <w:rFonts w:eastAsia="Courier New" w:cs="Times New Roman" w:ascii="Times New Roman" w:hAnsi="Times New Roman"/>
          <w:b/>
          <w:bCs/>
          <w:sz w:val="28"/>
          <w:szCs w:val="28"/>
          <w:u w:val="single"/>
          <w:lang w:eastAsia="ru-RU"/>
        </w:rPr>
        <w:t>«Обеспечение организационных условий для реализации муниципальной программы»</w:t>
      </w:r>
    </w:p>
    <w:p>
      <w:pPr>
        <w:pStyle w:val="Normal"/>
        <w:jc w:val="center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(наименование комплекса процессных мероприятий)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ru-RU"/>
        </w:rPr>
        <w:t xml:space="preserve">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1. Общие положения</w:t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tbl>
      <w:tblPr>
        <w:tblW w:w="500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4880"/>
        <w:gridCol w:w="4757"/>
      </w:tblGrid>
      <w:tr>
        <w:trPr>
          <w:trHeight w:val="516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Ответственное</w:t>
            </w:r>
            <w:r>
              <w:rPr>
                <w:rFonts w:cs="Times New Roman" w:ascii="Times New Roman" w:hAnsi="Times New Roman"/>
              </w:rPr>
              <w:t xml:space="preserve"> структурное подразделение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52"/>
              <w:jc w:val="both"/>
              <w:rPr>
                <w:sz w:val="20"/>
                <w:szCs w:val="20"/>
              </w:rPr>
            </w:pPr>
            <w:r>
              <w:rPr>
                <w:rFonts w:eastAsia="Arial Unicode MS" w:cs="Times New Roman" w:ascii="Times New Roman" w:hAnsi="Times New Roman"/>
                <w:sz w:val="20"/>
                <w:szCs w:val="20"/>
                <w:lang w:eastAsia="ru-RU"/>
              </w:rPr>
              <w:t>Отдел по образованию Администрации муниципального образования  «Демидовский муниципальный округ» Смоленской области, Отдел по культуре Администрации муниципального образования  «Демидовский муниципальный округ» Смоленской области</w:t>
            </w:r>
          </w:p>
        </w:tc>
      </w:tr>
      <w:tr>
        <w:trPr>
          <w:trHeight w:val="700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с муниципальной программой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Муниципальная программа «Противодействие  экстремизму и профилактика терроризма на территории муниципального образования «Демидовский муниципальный округ» Смоленской области»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 </w:t>
      </w:r>
    </w:p>
    <w:tbl>
      <w:tblPr>
        <w:tblW w:w="4950" w:type="pct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1735"/>
        <w:gridCol w:w="1522"/>
        <w:gridCol w:w="1631"/>
        <w:gridCol w:w="1456"/>
        <w:gridCol w:w="1661"/>
        <w:gridCol w:w="1535"/>
      </w:tblGrid>
      <w:tr>
        <w:trPr>
          <w:tblHeader w:val="true"/>
        </w:trPr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 реализации</w:t>
            </w:r>
          </w:p>
        </w:tc>
        <w:tc>
          <w:tcPr>
            <w:tcW w:w="1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23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Базовое значение показателя реализации 2024 год</w:t>
            </w:r>
          </w:p>
        </w:tc>
        <w:tc>
          <w:tcPr>
            <w:tcW w:w="4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1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2025 год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2026 год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22272F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highlight w:val="white"/>
              </w:rPr>
              <w:t>2027 год</w:t>
            </w:r>
          </w:p>
        </w:tc>
      </w:tr>
      <w:tr>
        <w:trPr>
          <w:tblHeader w:val="true"/>
          <w:trHeight w:val="282" w:hRule="atLeast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2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cs="Times New Roman" w:ascii="Times New Roman" w:hAnsi="Times New Roman"/>
                <w:spacing w:val="-2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28"/>
              <w:jc w:val="both"/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информирование населения по вопросам противодействия экстремизму и терроризму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eastAsia="Times New Roman" w:cs="Times New Roman" w:ascii="Times New Roman" w:hAnsi="Times New Roman"/>
                <w:spacing w:val="-2"/>
              </w:rPr>
              <w:t>шт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</w:tbl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  <w:r>
        <w:br w:type="page"/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ОЦЕНКА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  <w:t>«Противодействие экстремизму и профилактика терроризма на территории Демидовского муниципального округа Смоленской области»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(наименование муниципальной программы)</w:t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рамках муниципальной программы оценка 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 не применяется.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ind w:left="652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  <w:r>
        <w:br w:type="page"/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СВЕДЕНИЯ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о финансировании структурных элементов 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«Противодействие экстремизму и профилактика терроризма на территории муниципального образования «Демидовский муниципальный округ» Смоленской области»</w:t>
      </w:r>
    </w:p>
    <w:p>
      <w:pPr>
        <w:pStyle w:val="Normal"/>
        <w:ind w:left="1701" w:right="1700" w:hanging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(наименование муниципальной программы)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10215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569"/>
        <w:gridCol w:w="2243"/>
        <w:gridCol w:w="1622"/>
        <w:gridCol w:w="1631"/>
        <w:gridCol w:w="988"/>
        <w:gridCol w:w="1134"/>
        <w:gridCol w:w="1045"/>
        <w:gridCol w:w="981"/>
      </w:tblGrid>
      <w:tr>
        <w:trPr>
          <w:trHeight w:val="1038" w:hRule="atLeast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п/п</w:t>
            </w: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Наименован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ие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Участник муниципальной программы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41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34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56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4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2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3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34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22272F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highlight w:val="white"/>
                <w:lang w:eastAsia="ru-RU"/>
              </w:rPr>
              <w:t>2025 год</w:t>
            </w:r>
          </w:p>
        </w:tc>
        <w:tc>
          <w:tcPr>
            <w:tcW w:w="1045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22272F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highlight w:val="white"/>
                <w:lang w:eastAsia="ru-RU"/>
              </w:rPr>
              <w:t xml:space="preserve">2026 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22272F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highlight w:val="white"/>
                <w:lang w:eastAsia="ru-RU"/>
              </w:rPr>
              <w:t>год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22272F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highlight w:val="white"/>
                <w:lang w:eastAsia="ru-RU"/>
              </w:rPr>
              <w:t>2027 год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"/>
          <w:szCs w:val="2"/>
          <w:lang w:eastAsia="ru-RU"/>
        </w:rPr>
      </w:pPr>
      <w:r>
        <w:rPr>
          <w:rFonts w:eastAsia="Times New Roman" w:cs="Times New Roman" w:ascii="Times New Roman" w:hAnsi="Times New Roman"/>
          <w:b/>
          <w:sz w:val="2"/>
          <w:szCs w:val="2"/>
          <w:lang w:eastAsia="ru-RU"/>
        </w:rPr>
      </w:r>
    </w:p>
    <w:tbl>
      <w:tblPr>
        <w:tblW w:w="10205" w:type="dxa"/>
        <w:jc w:val="left"/>
        <w:tblInd w:w="1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573"/>
        <w:gridCol w:w="2218"/>
        <w:gridCol w:w="1642"/>
        <w:gridCol w:w="1643"/>
        <w:gridCol w:w="972"/>
        <w:gridCol w:w="1106"/>
        <w:gridCol w:w="1090"/>
        <w:gridCol w:w="959"/>
      </w:tblGrid>
      <w:tr>
        <w:trPr>
          <w:tblHeader w:val="true"/>
          <w:trHeight w:val="80" w:hRule="atLeast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69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397" w:hRule="atLeast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1.1.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Комплекс процессных мероприятий «</w:t>
            </w:r>
            <w:r>
              <w:rPr>
                <w:rFonts w:eastAsia="Courier New" w:cs="Times New Roman" w:ascii="Times New Roman" w:hAnsi="Times New Roman"/>
                <w:bCs/>
                <w:lang w:eastAsia="ru-RU"/>
              </w:rPr>
              <w:t>Обеспечение организационных условий для реализации муниципальной программы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»</w:t>
            </w:r>
          </w:p>
        </w:tc>
      </w:tr>
      <w:tr>
        <w:trPr>
          <w:trHeight w:val="397" w:hRule="atLeast"/>
        </w:trPr>
        <w:tc>
          <w:tcPr>
            <w:tcW w:w="5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Приобретение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методических материалов, печатных и электронных учебных пособий, учебных фильмов для МБУК ЦКС по вопросам профилактики экстремизма и предупреждения террористических актов.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 «Демидовский муниципальный округ» Смоленской области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«Демидовский муниципальный округ» Смоленской области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30,000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10,00</w:t>
            </w:r>
          </w:p>
        </w:tc>
      </w:tr>
      <w:tr>
        <w:trPr>
          <w:trHeight w:val="397" w:hRule="atLeast"/>
        </w:trPr>
        <w:tc>
          <w:tcPr>
            <w:tcW w:w="5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30,000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10,000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10,000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10,000</w:t>
            </w:r>
          </w:p>
        </w:tc>
      </w:tr>
      <w:tr>
        <w:trPr>
          <w:trHeight w:val="410" w:hRule="atLeast"/>
        </w:trPr>
        <w:tc>
          <w:tcPr>
            <w:tcW w:w="6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0</w:t>
            </w:r>
          </w:p>
        </w:tc>
      </w:tr>
      <w:tr>
        <w:trPr>
          <w:trHeight w:val="410" w:hRule="atLeast"/>
        </w:trPr>
        <w:tc>
          <w:tcPr>
            <w:tcW w:w="6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Всего по комплексу процессных мероприятий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30,00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10</w:t>
            </w:r>
            <w:r>
              <w:rPr>
                <w:rFonts w:eastAsia="Times New Roman" w:cs="Times New Roman" w:ascii="Times New Roman" w:hAnsi="Times New Roman"/>
                <w:b/>
                <w:i/>
                <w:lang w:val="en-US" w:eastAsia="ru-RU"/>
              </w:rPr>
              <w:t>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10,00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10,00</w:t>
            </w:r>
          </w:p>
        </w:tc>
      </w:tr>
      <w:tr>
        <w:trPr>
          <w:trHeight w:val="410" w:hRule="atLeast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4" w:right="-108" w:hanging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2. </w:t>
            </w:r>
          </w:p>
        </w:tc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4" w:right="-108" w:hanging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Отдельные мероприятия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</w:tr>
      <w:tr>
        <w:trPr>
          <w:trHeight w:val="828" w:hRule="atLeast"/>
        </w:trPr>
        <w:tc>
          <w:tcPr>
            <w:tcW w:w="6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4" w:right="-108" w:hanging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Всего по муниципальной программе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30,00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lang w:eastAsia="ru-RU"/>
              </w:rPr>
              <w:t>10,00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ind w:left="-103" w:right="-108" w:hanging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10,00</w:t>
            </w:r>
          </w:p>
        </w:tc>
      </w:tr>
    </w:tbl>
    <w:p>
      <w:pPr>
        <w:pStyle w:val="Normal"/>
        <w:tabs>
          <w:tab w:val="clear" w:pos="709"/>
          <w:tab w:val="left" w:pos="6237" w:leader="none"/>
          <w:tab w:val="left" w:pos="6412" w:leader="none"/>
          <w:tab w:val="right" w:pos="10205" w:leader="none"/>
        </w:tabs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6237" w:leader="none"/>
          <w:tab w:val="left" w:pos="6412" w:leader="none"/>
          <w:tab w:val="right" w:pos="10205" w:leader="none"/>
        </w:tabs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6237" w:leader="none"/>
          <w:tab w:val="left" w:pos="6412" w:leader="none"/>
          <w:tab w:val="right" w:pos="10205" w:leader="none"/>
        </w:tabs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3.%4."/>
      <w:lvlJc w:val="left"/>
      <w:pPr>
        <w:ind w:left="2880" w:hanging="360"/>
      </w:pPr>
    </w:lvl>
    <w:lvl w:ilvl="4">
      <w:start w:val="1"/>
      <w:numFmt w:val="lowerLetter"/>
      <w:lvlText w:val="%4.%5."/>
      <w:lvlJc w:val="left"/>
      <w:pPr>
        <w:ind w:left="3600" w:hanging="360"/>
      </w:pPr>
    </w:lvl>
    <w:lvl w:ilvl="5">
      <w:start w:val="1"/>
      <w:numFmt w:val="lowerRoman"/>
      <w:lvlText w:val="%5.%6."/>
      <w:lvlJc w:val="right"/>
      <w:pPr>
        <w:ind w:left="4320" w:hanging="180"/>
      </w:pPr>
    </w:lvl>
    <w:lvl w:ilvl="6">
      <w:start w:val="1"/>
      <w:numFmt w:val="decimal"/>
      <w:lvlText w:val="%6.%7."/>
      <w:lvlJc w:val="left"/>
      <w:pPr>
        <w:ind w:left="5040" w:hanging="360"/>
      </w:pPr>
    </w:lvl>
    <w:lvl w:ilvl="7">
      <w:start w:val="1"/>
      <w:numFmt w:val="lowerLetter"/>
      <w:lvlText w:val="%7.%8."/>
      <w:lvlJc w:val="left"/>
      <w:pPr>
        <w:ind w:left="5760" w:hanging="360"/>
      </w:pPr>
    </w:lvl>
    <w:lvl w:ilvl="8">
      <w:start w:val="1"/>
      <w:numFmt w:val="lowerRoman"/>
      <w:lvlText w:val="%8.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2db6"/>
    <w:pPr>
      <w:widowControl w:val="false"/>
      <w:suppressAutoHyphens w:val="false"/>
      <w:bidi w:val="0"/>
      <w:spacing w:before="0" w:after="0"/>
      <w:jc w:val="left"/>
    </w:pPr>
    <w:rPr>
      <w:rFonts w:ascii="Liberation Serif" w:hAnsi="Liberation Serif" w:eastAsia="Segoe UI" w:cs="Tahoma"/>
      <w:color w:val="000000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z0" w:customStyle="1">
    <w:name w:val="WW8Num3z0"/>
    <w:qFormat/>
    <w:rsid w:val="00a52db6"/>
    <w:rPr/>
  </w:style>
  <w:style w:type="character" w:styleId="WW8Num3z1" w:customStyle="1">
    <w:name w:val="WW8Num3z1"/>
    <w:qFormat/>
    <w:rsid w:val="00a52db6"/>
    <w:rPr/>
  </w:style>
  <w:style w:type="character" w:styleId="WW8Num3z2" w:customStyle="1">
    <w:name w:val="WW8Num3z2"/>
    <w:qFormat/>
    <w:rsid w:val="00a52db6"/>
    <w:rPr/>
  </w:style>
  <w:style w:type="character" w:styleId="WW8Num3z3" w:customStyle="1">
    <w:name w:val="WW8Num3z3"/>
    <w:qFormat/>
    <w:rsid w:val="00a52db6"/>
    <w:rPr/>
  </w:style>
  <w:style w:type="character" w:styleId="WW8Num3z4" w:customStyle="1">
    <w:name w:val="WW8Num3z4"/>
    <w:qFormat/>
    <w:rsid w:val="00a52db6"/>
    <w:rPr/>
  </w:style>
  <w:style w:type="character" w:styleId="WW8Num3z5" w:customStyle="1">
    <w:name w:val="WW8Num3z5"/>
    <w:qFormat/>
    <w:rsid w:val="00a52db6"/>
    <w:rPr/>
  </w:style>
  <w:style w:type="character" w:styleId="WW8Num3z6" w:customStyle="1">
    <w:name w:val="WW8Num3z6"/>
    <w:qFormat/>
    <w:rsid w:val="00a52db6"/>
    <w:rPr/>
  </w:style>
  <w:style w:type="character" w:styleId="WW8Num3z7" w:customStyle="1">
    <w:name w:val="WW8Num3z7"/>
    <w:qFormat/>
    <w:rsid w:val="00a52db6"/>
    <w:rPr/>
  </w:style>
  <w:style w:type="character" w:styleId="WW8Num3z8" w:customStyle="1">
    <w:name w:val="WW8Num3z8"/>
    <w:qFormat/>
    <w:rsid w:val="00a52db6"/>
    <w:rPr/>
  </w:style>
  <w:style w:type="character" w:styleId="Style14" w:customStyle="1">
    <w:name w:val="Маркеры списка"/>
    <w:qFormat/>
    <w:rsid w:val="00a52db6"/>
    <w:rPr>
      <w:rFonts w:ascii="StarSymbol" w:hAnsi="StarSymbol" w:eastAsia="StarSymbol" w:cs="StarSymbol"/>
      <w:sz w:val="18"/>
      <w:szCs w:val="18"/>
    </w:rPr>
  </w:style>
  <w:style w:type="character" w:styleId="1" w:customStyle="1">
    <w:name w:val="Основной шрифт абзаца1"/>
    <w:qFormat/>
    <w:rsid w:val="00a52db6"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a52db6"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a52db6"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a52db6"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a52db6"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a52db6"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a52db6"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a52db6"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a52db6"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a52db6"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a52db6"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a52db6"/>
    <w:rPr/>
  </w:style>
  <w:style w:type="character" w:styleId="WWAbsatzStandardschriftart1111111111111111111111111111111111111111111" w:customStyle="1">
    <w:name w:val="WW-Absatz-Standardschriftart1111111111111111111111111111111111111111111"/>
    <w:qFormat/>
    <w:rsid w:val="00a52db6"/>
    <w:rPr/>
  </w:style>
  <w:style w:type="character" w:styleId="WWAbsatzStandardschriftart111111111111111111111111111111111111111111" w:customStyle="1">
    <w:name w:val="WW-Absatz-Standardschriftart111111111111111111111111111111111111111111"/>
    <w:qFormat/>
    <w:rsid w:val="00a52db6"/>
    <w:rPr/>
  </w:style>
  <w:style w:type="character" w:styleId="WWAbsatzStandardschriftart11111111111111111111111111111111111111111" w:customStyle="1">
    <w:name w:val="WW-Absatz-Standardschriftart11111111111111111111111111111111111111111"/>
    <w:qFormat/>
    <w:rsid w:val="00a52db6"/>
    <w:rPr/>
  </w:style>
  <w:style w:type="character" w:styleId="WWAbsatzStandardschriftart1111111111111111111111111111111111111111" w:customStyle="1">
    <w:name w:val="WW-Absatz-Standardschriftart1111111111111111111111111111111111111111"/>
    <w:qFormat/>
    <w:rsid w:val="00a52db6"/>
    <w:rPr/>
  </w:style>
  <w:style w:type="character" w:styleId="WWAbsatzStandardschriftart111111111111111111111111111111111111111" w:customStyle="1">
    <w:name w:val="WW-Absatz-Standardschriftart111111111111111111111111111111111111111"/>
    <w:qFormat/>
    <w:rsid w:val="00a52db6"/>
    <w:rPr/>
  </w:style>
  <w:style w:type="character" w:styleId="WWAbsatzStandardschriftart11111111111111111111111111111111111111" w:customStyle="1">
    <w:name w:val="WW-Absatz-Standardschriftart11111111111111111111111111111111111111"/>
    <w:qFormat/>
    <w:rsid w:val="00a52db6"/>
    <w:rPr/>
  </w:style>
  <w:style w:type="character" w:styleId="WWAbsatzStandardschriftart1111111111111111111111111111111111111" w:customStyle="1">
    <w:name w:val="WW-Absatz-Standardschriftart1111111111111111111111111111111111111"/>
    <w:qFormat/>
    <w:rsid w:val="00a52db6"/>
    <w:rPr/>
  </w:style>
  <w:style w:type="character" w:styleId="WWAbsatzStandardschriftart111111111111111111111111111111111111" w:customStyle="1">
    <w:name w:val="WW-Absatz-Standardschriftart111111111111111111111111111111111111"/>
    <w:qFormat/>
    <w:rsid w:val="00a52db6"/>
    <w:rPr/>
  </w:style>
  <w:style w:type="character" w:styleId="WWAbsatzStandardschriftart11111111111111111111111111111111111" w:customStyle="1">
    <w:name w:val="WW-Absatz-Standardschriftart11111111111111111111111111111111111"/>
    <w:qFormat/>
    <w:rsid w:val="00a52db6"/>
    <w:rPr/>
  </w:style>
  <w:style w:type="character" w:styleId="WWAbsatzStandardschriftart1111111111111111111111111111111111" w:customStyle="1">
    <w:name w:val="WW-Absatz-Standardschriftart1111111111111111111111111111111111"/>
    <w:qFormat/>
    <w:rsid w:val="00a52db6"/>
    <w:rPr/>
  </w:style>
  <w:style w:type="character" w:styleId="WWAbsatzStandardschriftart111111111111111111111111111111111" w:customStyle="1">
    <w:name w:val="WW-Absatz-Standardschriftart111111111111111111111111111111111"/>
    <w:qFormat/>
    <w:rsid w:val="00a52db6"/>
    <w:rPr/>
  </w:style>
  <w:style w:type="character" w:styleId="WWAbsatzStandardschriftart11111111111111111111111111111111" w:customStyle="1">
    <w:name w:val="WW-Absatz-Standardschriftart11111111111111111111111111111111"/>
    <w:qFormat/>
    <w:rsid w:val="00a52db6"/>
    <w:rPr/>
  </w:style>
  <w:style w:type="character" w:styleId="WWAbsatzStandardschriftart1111111111111111111111111111111" w:customStyle="1">
    <w:name w:val="WW-Absatz-Standardschriftart1111111111111111111111111111111"/>
    <w:qFormat/>
    <w:rsid w:val="00a52db6"/>
    <w:rPr/>
  </w:style>
  <w:style w:type="character" w:styleId="WWAbsatzStandardschriftart111111111111111111111111111111" w:customStyle="1">
    <w:name w:val="WW-Absatz-Standardschriftart111111111111111111111111111111"/>
    <w:qFormat/>
    <w:rsid w:val="00a52db6"/>
    <w:rPr/>
  </w:style>
  <w:style w:type="character" w:styleId="WWAbsatzStandardschriftart11111111111111111111111111111" w:customStyle="1">
    <w:name w:val="WW-Absatz-Standardschriftart11111111111111111111111111111"/>
    <w:qFormat/>
    <w:rsid w:val="00a52db6"/>
    <w:rPr/>
  </w:style>
  <w:style w:type="character" w:styleId="WWAbsatzStandardschriftart1111111111111111111111111111" w:customStyle="1">
    <w:name w:val="WW-Absatz-Standardschriftart1111111111111111111111111111"/>
    <w:qFormat/>
    <w:rsid w:val="00a52db6"/>
    <w:rPr/>
  </w:style>
  <w:style w:type="character" w:styleId="WWAbsatzStandardschriftart111111111111111111111111111" w:customStyle="1">
    <w:name w:val="WW-Absatz-Standardschriftart111111111111111111111111111"/>
    <w:qFormat/>
    <w:rsid w:val="00a52db6"/>
    <w:rPr/>
  </w:style>
  <w:style w:type="character" w:styleId="WWAbsatzStandardschriftart11111111111111111111111111" w:customStyle="1">
    <w:name w:val="WW-Absatz-Standardschriftart11111111111111111111111111"/>
    <w:qFormat/>
    <w:rsid w:val="00a52db6"/>
    <w:rPr/>
  </w:style>
  <w:style w:type="character" w:styleId="WWAbsatzStandardschriftart1111111111111111111111111" w:customStyle="1">
    <w:name w:val="WW-Absatz-Standardschriftart1111111111111111111111111"/>
    <w:qFormat/>
    <w:rsid w:val="00a52db6"/>
    <w:rPr/>
  </w:style>
  <w:style w:type="character" w:styleId="WWAbsatzStandardschriftart111111111111111111111111" w:customStyle="1">
    <w:name w:val="WW-Absatz-Standardschriftart111111111111111111111111"/>
    <w:qFormat/>
    <w:rsid w:val="00a52db6"/>
    <w:rPr/>
  </w:style>
  <w:style w:type="character" w:styleId="WWAbsatzStandardschriftart11111111111111111111111" w:customStyle="1">
    <w:name w:val="WW-Absatz-Standardschriftart11111111111111111111111"/>
    <w:qFormat/>
    <w:rsid w:val="00a52db6"/>
    <w:rPr/>
  </w:style>
  <w:style w:type="character" w:styleId="WWAbsatzStandardschriftart1111111111111111111111" w:customStyle="1">
    <w:name w:val="WW-Absatz-Standardschriftart1111111111111111111111"/>
    <w:qFormat/>
    <w:rsid w:val="00a52db6"/>
    <w:rPr/>
  </w:style>
  <w:style w:type="character" w:styleId="WWAbsatzStandardschriftart111111111111111111111" w:customStyle="1">
    <w:name w:val="WW-Absatz-Standardschriftart111111111111111111111"/>
    <w:qFormat/>
    <w:rsid w:val="00a52db6"/>
    <w:rPr/>
  </w:style>
  <w:style w:type="character" w:styleId="WWAbsatzStandardschriftart11111111111111111111" w:customStyle="1">
    <w:name w:val="WW-Absatz-Standardschriftart11111111111111111111"/>
    <w:qFormat/>
    <w:rsid w:val="00a52db6"/>
    <w:rPr/>
  </w:style>
  <w:style w:type="character" w:styleId="WWAbsatzStandardschriftart1111111111111111111" w:customStyle="1">
    <w:name w:val="WW-Absatz-Standardschriftart1111111111111111111"/>
    <w:qFormat/>
    <w:rsid w:val="00a52db6"/>
    <w:rPr/>
  </w:style>
  <w:style w:type="character" w:styleId="WWAbsatzStandardschriftart111111111111111111" w:customStyle="1">
    <w:name w:val="WW-Absatz-Standardschriftart111111111111111111"/>
    <w:qFormat/>
    <w:rsid w:val="00a52db6"/>
    <w:rPr/>
  </w:style>
  <w:style w:type="character" w:styleId="WWAbsatzStandardschriftart11111111111111111" w:customStyle="1">
    <w:name w:val="WW-Absatz-Standardschriftart11111111111111111"/>
    <w:qFormat/>
    <w:rsid w:val="00a52db6"/>
    <w:rPr/>
  </w:style>
  <w:style w:type="character" w:styleId="WWAbsatzStandardschriftart1111111111111111" w:customStyle="1">
    <w:name w:val="WW-Absatz-Standardschriftart1111111111111111"/>
    <w:qFormat/>
    <w:rsid w:val="00a52db6"/>
    <w:rPr/>
  </w:style>
  <w:style w:type="character" w:styleId="WWAbsatzStandardschriftart111111111111111" w:customStyle="1">
    <w:name w:val="WW-Absatz-Standardschriftart111111111111111"/>
    <w:qFormat/>
    <w:rsid w:val="00a52db6"/>
    <w:rPr/>
  </w:style>
  <w:style w:type="character" w:styleId="WWAbsatzStandardschriftart11111111111111" w:customStyle="1">
    <w:name w:val="WW-Absatz-Standardschriftart11111111111111"/>
    <w:qFormat/>
    <w:rsid w:val="00a52db6"/>
    <w:rPr/>
  </w:style>
  <w:style w:type="character" w:styleId="WWAbsatzStandardschriftart1111111111111" w:customStyle="1">
    <w:name w:val="WW-Absatz-Standardschriftart1111111111111"/>
    <w:qFormat/>
    <w:rsid w:val="00a52db6"/>
    <w:rPr/>
  </w:style>
  <w:style w:type="character" w:styleId="WWAbsatzStandardschriftart111111111111" w:customStyle="1">
    <w:name w:val="WW-Absatz-Standardschriftart111111111111"/>
    <w:qFormat/>
    <w:rsid w:val="00a52db6"/>
    <w:rPr/>
  </w:style>
  <w:style w:type="character" w:styleId="WWAbsatzStandardschriftart11111111111" w:customStyle="1">
    <w:name w:val="WW-Absatz-Standardschriftart11111111111"/>
    <w:qFormat/>
    <w:rsid w:val="00a52db6"/>
    <w:rPr/>
  </w:style>
  <w:style w:type="character" w:styleId="WWAbsatzStandardschriftart1111111111" w:customStyle="1">
    <w:name w:val="WW-Absatz-Standardschriftart1111111111"/>
    <w:qFormat/>
    <w:rsid w:val="00a52db6"/>
    <w:rPr/>
  </w:style>
  <w:style w:type="character" w:styleId="WWAbsatzStandardschriftart111111111" w:customStyle="1">
    <w:name w:val="WW-Absatz-Standardschriftart111111111"/>
    <w:qFormat/>
    <w:rsid w:val="00a52db6"/>
    <w:rPr/>
  </w:style>
  <w:style w:type="character" w:styleId="WWAbsatzStandardschriftart11111111" w:customStyle="1">
    <w:name w:val="WW-Absatz-Standardschriftart11111111"/>
    <w:qFormat/>
    <w:rsid w:val="00a52db6"/>
    <w:rPr/>
  </w:style>
  <w:style w:type="character" w:styleId="WWAbsatzStandardschriftart1111111" w:customStyle="1">
    <w:name w:val="WW-Absatz-Standardschriftart1111111"/>
    <w:qFormat/>
    <w:rsid w:val="00a52db6"/>
    <w:rPr/>
  </w:style>
  <w:style w:type="character" w:styleId="WWAbsatzStandardschriftart111111" w:customStyle="1">
    <w:name w:val="WW-Absatz-Standardschriftart111111"/>
    <w:qFormat/>
    <w:rsid w:val="00a52db6"/>
    <w:rPr/>
  </w:style>
  <w:style w:type="character" w:styleId="WWAbsatzStandardschriftart11111" w:customStyle="1">
    <w:name w:val="WW-Absatz-Standardschriftart11111"/>
    <w:qFormat/>
    <w:rsid w:val="00a52db6"/>
    <w:rPr/>
  </w:style>
  <w:style w:type="character" w:styleId="WWAbsatzStandardschriftart1111" w:customStyle="1">
    <w:name w:val="WW-Absatz-Standardschriftart1111"/>
    <w:qFormat/>
    <w:rsid w:val="00a52db6"/>
    <w:rPr/>
  </w:style>
  <w:style w:type="character" w:styleId="WWAbsatzStandardschriftart111" w:customStyle="1">
    <w:name w:val="WW-Absatz-Standardschriftart111"/>
    <w:qFormat/>
    <w:rsid w:val="00a52db6"/>
    <w:rPr/>
  </w:style>
  <w:style w:type="character" w:styleId="WWAbsatzStandardschriftart11" w:customStyle="1">
    <w:name w:val="WW-Absatz-Standardschriftart11"/>
    <w:qFormat/>
    <w:rsid w:val="00a52db6"/>
    <w:rPr/>
  </w:style>
  <w:style w:type="character" w:styleId="WWAbsatzStandardschriftart1" w:customStyle="1">
    <w:name w:val="WW-Absatz-Standardschriftart1"/>
    <w:qFormat/>
    <w:rsid w:val="00a52db6"/>
    <w:rPr/>
  </w:style>
  <w:style w:type="character" w:styleId="WWAbsatzStandardschriftart" w:customStyle="1">
    <w:name w:val="WW-Absatz-Standardschriftart"/>
    <w:qFormat/>
    <w:rsid w:val="00a52db6"/>
    <w:rPr/>
  </w:style>
  <w:style w:type="character" w:styleId="WW8Num2z8" w:customStyle="1">
    <w:name w:val="WW8Num2z8"/>
    <w:qFormat/>
    <w:rsid w:val="00a52db6"/>
    <w:rPr/>
  </w:style>
  <w:style w:type="character" w:styleId="WW8Num2z7" w:customStyle="1">
    <w:name w:val="WW8Num2z7"/>
    <w:qFormat/>
    <w:rsid w:val="00a52db6"/>
    <w:rPr/>
  </w:style>
  <w:style w:type="character" w:styleId="WW8Num2z6" w:customStyle="1">
    <w:name w:val="WW8Num2z6"/>
    <w:qFormat/>
    <w:rsid w:val="00a52db6"/>
    <w:rPr/>
  </w:style>
  <w:style w:type="character" w:styleId="WW8Num2z5" w:customStyle="1">
    <w:name w:val="WW8Num2z5"/>
    <w:qFormat/>
    <w:rsid w:val="00a52db6"/>
    <w:rPr/>
  </w:style>
  <w:style w:type="character" w:styleId="WW8Num2z4" w:customStyle="1">
    <w:name w:val="WW8Num2z4"/>
    <w:qFormat/>
    <w:rsid w:val="00a52db6"/>
    <w:rPr/>
  </w:style>
  <w:style w:type="character" w:styleId="WW8Num2z3" w:customStyle="1">
    <w:name w:val="WW8Num2z3"/>
    <w:qFormat/>
    <w:rsid w:val="00a52db6"/>
    <w:rPr/>
  </w:style>
  <w:style w:type="character" w:styleId="WW8Num2z2" w:customStyle="1">
    <w:name w:val="WW8Num2z2"/>
    <w:qFormat/>
    <w:rsid w:val="00a52db6"/>
    <w:rPr/>
  </w:style>
  <w:style w:type="character" w:styleId="WW8Num2z1" w:customStyle="1">
    <w:name w:val="WW8Num2z1"/>
    <w:qFormat/>
    <w:rsid w:val="00a52db6"/>
    <w:rPr/>
  </w:style>
  <w:style w:type="character" w:styleId="2" w:customStyle="1">
    <w:name w:val="Основной шрифт абзаца2"/>
    <w:qFormat/>
    <w:rsid w:val="00a52db6"/>
    <w:rPr/>
  </w:style>
  <w:style w:type="character" w:styleId="AbsatzStandardschriftart" w:customStyle="1">
    <w:name w:val="Absatz-Standardschriftart"/>
    <w:qFormat/>
    <w:rsid w:val="00a52db6"/>
    <w:rPr/>
  </w:style>
  <w:style w:type="character" w:styleId="3" w:customStyle="1">
    <w:name w:val="Основной шрифт абзаца3"/>
    <w:qFormat/>
    <w:rsid w:val="00a52db6"/>
    <w:rPr/>
  </w:style>
  <w:style w:type="character" w:styleId="WW8Num1z8" w:customStyle="1">
    <w:name w:val="WW8Num1z8"/>
    <w:qFormat/>
    <w:rsid w:val="00a52db6"/>
    <w:rPr/>
  </w:style>
  <w:style w:type="character" w:styleId="WW8Num1z7" w:customStyle="1">
    <w:name w:val="WW8Num1z7"/>
    <w:qFormat/>
    <w:rsid w:val="00a52db6"/>
    <w:rPr/>
  </w:style>
  <w:style w:type="character" w:styleId="WW8Num1z6" w:customStyle="1">
    <w:name w:val="WW8Num1z6"/>
    <w:qFormat/>
    <w:rsid w:val="00a52db6"/>
    <w:rPr/>
  </w:style>
  <w:style w:type="character" w:styleId="WW8Num1z5" w:customStyle="1">
    <w:name w:val="WW8Num1z5"/>
    <w:qFormat/>
    <w:rsid w:val="00a52db6"/>
    <w:rPr/>
  </w:style>
  <w:style w:type="character" w:styleId="WW8Num1z4" w:customStyle="1">
    <w:name w:val="WW8Num1z4"/>
    <w:qFormat/>
    <w:rsid w:val="00a52db6"/>
    <w:rPr/>
  </w:style>
  <w:style w:type="character" w:styleId="WW8Num1z3" w:customStyle="1">
    <w:name w:val="WW8Num1z3"/>
    <w:qFormat/>
    <w:rsid w:val="00a52db6"/>
    <w:rPr/>
  </w:style>
  <w:style w:type="character" w:styleId="WW8Num1z2" w:customStyle="1">
    <w:name w:val="WW8Num1z2"/>
    <w:qFormat/>
    <w:rsid w:val="00a52db6"/>
    <w:rPr/>
  </w:style>
  <w:style w:type="character" w:styleId="WW8Num1z1" w:customStyle="1">
    <w:name w:val="WW8Num1z1"/>
    <w:qFormat/>
    <w:rsid w:val="00a52db6"/>
    <w:rPr/>
  </w:style>
  <w:style w:type="character" w:styleId="ConsPlusNormal" w:customStyle="1">
    <w:name w:val="ConsPlusNormal Знак"/>
    <w:link w:val="ConsPlusNormal"/>
    <w:qFormat/>
    <w:locked/>
    <w:rsid w:val="00fd078a"/>
    <w:rPr>
      <w:rFonts w:ascii="Arial" w:hAnsi="Arial" w:eastAsia="Arial"/>
      <w:color w:val="auto"/>
      <w:kern w:val="2"/>
      <w:sz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 w:customStyle="1">
    <w:name w:val="Содержимое таблицы"/>
    <w:basedOn w:val="Normal"/>
    <w:qFormat/>
    <w:rsid w:val="00a52db6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a52db6"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a52db6"/>
    <w:pPr>
      <w:spacing w:before="280" w:after="119"/>
    </w:pPr>
    <w:rPr/>
  </w:style>
  <w:style w:type="paragraph" w:styleId="ConsPlusTitle" w:customStyle="1">
    <w:name w:val="ConsPlusTitle"/>
    <w:qFormat/>
    <w:rsid w:val="00a52db6"/>
    <w:pPr>
      <w:widowControl/>
      <w:suppressAutoHyphens w:val="true"/>
      <w:bidi w:val="0"/>
      <w:spacing w:before="0" w:after="0"/>
      <w:jc w:val="left"/>
    </w:pPr>
    <w:rPr>
      <w:rFonts w:ascii="Arial" w:hAnsi="Arial" w:eastAsia="Arial" w:cs="Courier New"/>
      <w:b/>
      <w:color w:val="auto"/>
      <w:kern w:val="2"/>
      <w:sz w:val="20"/>
      <w:szCs w:val="24"/>
      <w:lang w:val="ru-RU" w:eastAsia="zh-CN" w:bidi="hi-IN"/>
    </w:rPr>
  </w:style>
  <w:style w:type="paragraph" w:styleId="ConsPlusNonformat" w:customStyle="1">
    <w:name w:val="ConsPlusNonformat"/>
    <w:qFormat/>
    <w:rsid w:val="00a52db6"/>
    <w:pPr>
      <w:widowControl/>
      <w:suppressAutoHyphens w:val="true"/>
      <w:bidi w:val="0"/>
      <w:spacing w:before="0" w:after="0"/>
      <w:jc w:val="left"/>
    </w:pPr>
    <w:rPr>
      <w:rFonts w:ascii="Courier New" w:hAnsi="Courier New" w:eastAsia="Arial" w:cs="Courier New"/>
      <w:color w:val="auto"/>
      <w:kern w:val="2"/>
      <w:sz w:val="20"/>
      <w:szCs w:val="24"/>
      <w:lang w:val="ru-RU" w:eastAsia="zh-CN" w:bidi="hi-IN"/>
    </w:rPr>
  </w:style>
  <w:style w:type="paragraph" w:styleId="11" w:customStyle="1">
    <w:name w:val="Цитата1"/>
    <w:basedOn w:val="Normal"/>
    <w:qFormat/>
    <w:rsid w:val="00a52db6"/>
    <w:pPr>
      <w:spacing w:before="0" w:after="283"/>
      <w:ind w:left="567" w:right="567" w:hanging="0"/>
    </w:pPr>
    <w:rPr/>
  </w:style>
  <w:style w:type="paragraph" w:styleId="ConsPlusNormal1" w:customStyle="1">
    <w:name w:val="ConsPlusNormal"/>
    <w:link w:val="ConsPlusNormal0"/>
    <w:qFormat/>
    <w:rsid w:val="00a52db6"/>
    <w:pPr>
      <w:widowControl/>
      <w:suppressAutoHyphens w:val="true"/>
      <w:bidi w:val="0"/>
      <w:spacing w:before="0" w:after="0"/>
      <w:jc w:val="left"/>
    </w:pPr>
    <w:rPr>
      <w:rFonts w:ascii="Arial" w:hAnsi="Arial" w:eastAsia="Arial" w:cs="Tahoma"/>
      <w:color w:val="auto"/>
      <w:kern w:val="2"/>
      <w:sz w:val="20"/>
      <w:szCs w:val="24"/>
      <w:lang w:val="ru-RU" w:eastAsia="zh-CN" w:bidi="hi-IN"/>
    </w:rPr>
  </w:style>
  <w:style w:type="paragraph" w:styleId="ConsPlusDocList" w:customStyle="1">
    <w:name w:val="ConsPlusDocList"/>
    <w:qFormat/>
    <w:rsid w:val="00a52db6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2"/>
      <w:sz w:val="20"/>
      <w:szCs w:val="20"/>
      <w:lang w:val="ru-RU" w:eastAsia="zh-CN" w:bidi="hi-IN"/>
    </w:rPr>
  </w:style>
  <w:style w:type="paragraph" w:styleId="ConsTitle" w:customStyle="1">
    <w:name w:val="ConsTitle"/>
    <w:qFormat/>
    <w:rsid w:val="00a52db6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b/>
      <w:bCs/>
      <w:color w:val="auto"/>
      <w:kern w:val="2"/>
      <w:sz w:val="16"/>
      <w:szCs w:val="16"/>
      <w:lang w:bidi="ar-SA" w:val="ru-RU" w:eastAsia="zh-CN"/>
    </w:rPr>
  </w:style>
  <w:style w:type="paragraph" w:styleId="ConsNonformat" w:customStyle="1">
    <w:name w:val="ConsNonformat"/>
    <w:qFormat/>
    <w:rsid w:val="00a52db6"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Arial" w:cs="Courier New"/>
      <w:color w:val="auto"/>
      <w:kern w:val="2"/>
      <w:sz w:val="20"/>
      <w:szCs w:val="20"/>
      <w:lang w:bidi="ar-SA" w:val="ru-RU" w:eastAsia="zh-CN"/>
    </w:rPr>
  </w:style>
  <w:style w:type="paragraph" w:styleId="ConsNormal" w:customStyle="1">
    <w:name w:val="ConsNormal"/>
    <w:qFormat/>
    <w:rsid w:val="00a52db6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Arial" w:cs="Arial"/>
      <w:color w:val="auto"/>
      <w:kern w:val="2"/>
      <w:sz w:val="20"/>
      <w:szCs w:val="20"/>
      <w:lang w:bidi="ar-SA" w:val="ru-RU" w:eastAsia="zh-CN"/>
    </w:rPr>
  </w:style>
  <w:style w:type="paragraph" w:styleId="12" w:customStyle="1">
    <w:name w:val="Указатель1"/>
    <w:basedOn w:val="Normal"/>
    <w:qFormat/>
    <w:rsid w:val="00a52db6"/>
    <w:pPr/>
    <w:rPr/>
  </w:style>
  <w:style w:type="paragraph" w:styleId="13" w:customStyle="1">
    <w:name w:val="Название объекта1"/>
    <w:basedOn w:val="Normal"/>
    <w:qFormat/>
    <w:rsid w:val="00a52db6"/>
    <w:pPr>
      <w:spacing w:before="120" w:after="120"/>
    </w:pPr>
    <w:rPr>
      <w:i/>
      <w:iCs/>
    </w:rPr>
  </w:style>
  <w:style w:type="paragraph" w:styleId="21" w:customStyle="1">
    <w:name w:val="Указатель2"/>
    <w:basedOn w:val="Normal"/>
    <w:qFormat/>
    <w:rsid w:val="00a52db6"/>
    <w:pPr/>
    <w:rPr>
      <w:rFonts w:cs="Mangal"/>
    </w:rPr>
  </w:style>
  <w:style w:type="paragraph" w:styleId="22" w:customStyle="1">
    <w:name w:val="Название объекта2"/>
    <w:qFormat/>
    <w:rsid w:val="00a52db6"/>
    <w:pPr>
      <w:keepNext w:val="true"/>
      <w:widowControl w:val="false"/>
      <w:bidi w:val="0"/>
      <w:spacing w:before="240" w:after="120"/>
      <w:jc w:val="left"/>
    </w:pPr>
    <w:rPr>
      <w:rFonts w:ascii="Arial" w:hAnsi="Arial" w:eastAsia="Lucida Sans Unicode" w:cs="Tahoma"/>
      <w:color w:val="000000"/>
      <w:kern w:val="0"/>
      <w:sz w:val="28"/>
      <w:szCs w:val="28"/>
      <w:lang w:val="ru-RU" w:eastAsia="zh-CN" w:bidi="hi-IN"/>
    </w:rPr>
  </w:style>
  <w:style w:type="paragraph" w:styleId="31" w:customStyle="1">
    <w:name w:val="Указатель3"/>
    <w:basedOn w:val="Normal"/>
    <w:qFormat/>
    <w:rsid w:val="00a52db6"/>
    <w:pPr/>
    <w:rPr>
      <w:rFonts w:cs="Mangal"/>
    </w:rPr>
  </w:style>
  <w:style w:type="paragraph" w:styleId="Caption">
    <w:name w:val="caption"/>
    <w:qFormat/>
    <w:rsid w:val="00a52db6"/>
    <w:pPr>
      <w:keepNext w:val="true"/>
      <w:widowControl w:val="false"/>
      <w:bidi w:val="0"/>
      <w:spacing w:before="240" w:after="120"/>
      <w:jc w:val="center"/>
    </w:pPr>
    <w:rPr>
      <w:rFonts w:ascii="Arial" w:hAnsi="Arial" w:eastAsia="Lucida Sans Unicode" w:cs="Tahoma"/>
      <w:b/>
      <w:bCs/>
      <w:color w:val="000000"/>
      <w:kern w:val="0"/>
      <w:sz w:val="36"/>
      <w:szCs w:val="36"/>
      <w:lang w:val="ru-RU" w:eastAsia="zh-CN" w:bidi="hi-IN"/>
    </w:rPr>
  </w:style>
  <w:style w:type="paragraph" w:styleId="ListParagraph">
    <w:name w:val="List Paragraph"/>
    <w:basedOn w:val="Normal"/>
    <w:uiPriority w:val="34"/>
    <w:qFormat/>
    <w:rsid w:val="00aa4ebb"/>
    <w:pPr>
      <w:spacing w:before="0" w:after="0"/>
      <w:ind w:lef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  <w:rsid w:val="00a52db6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Application>LibreOffice/6.4.0.3$Windows_X86_64 LibreOffice_project/b0a288ab3d2d4774cb44b62f04d5d28733ac6df8</Application>
  <Pages>13</Pages>
  <Words>1388</Words>
  <Characters>10264</Characters>
  <CharactersWithSpaces>11499</CharactersWithSpaces>
  <Paragraphs>303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2025-02-18T07:38:00Z</dcterms:created>
  <dc:creator/>
  <dc:description/>
  <dc:language>ru-RU</dc:language>
  <cp:lastModifiedBy/>
  <cp:lastPrinted>2025-03-06T12:09:00Z</cp:lastPrinted>
  <dcterms:modified xsi:type="dcterms:W3CDTF">2025-04-15T10:20:06Z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